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1B39" w14:textId="77777777" w:rsidR="00063D4E" w:rsidRPr="00063D4E" w:rsidRDefault="00063D4E" w:rsidP="00063D4E">
      <w:pPr>
        <w:spacing w:before="870" w:after="450" w:line="240" w:lineRule="auto"/>
        <w:outlineLvl w:val="1"/>
        <w:rPr>
          <w:rFonts w:ascii="Open Sans" w:hAnsi="Open Sans" w:cs="Open Sans"/>
          <w:b/>
          <w:bCs/>
          <w:caps/>
          <w:color w:val="434343"/>
          <w:sz w:val="36"/>
          <w:szCs w:val="36"/>
          <w:lang w:eastAsia="cs-CZ"/>
        </w:rPr>
      </w:pPr>
      <w:r w:rsidRPr="00063D4E">
        <w:rPr>
          <w:rFonts w:ascii="Open Sans" w:hAnsi="Open Sans" w:cs="Open Sans"/>
          <w:b/>
          <w:bCs/>
          <w:caps/>
          <w:color w:val="434343"/>
          <w:sz w:val="36"/>
          <w:szCs w:val="36"/>
          <w:lang w:eastAsia="cs-CZ"/>
        </w:rPr>
        <w:t>NOVÝ PORTÁL ŽIVNOSTENSKÉHO PODNIKÁNÍ</w:t>
      </w:r>
    </w:p>
    <w:p w14:paraId="693B4108" w14:textId="77777777" w:rsidR="00063D4E" w:rsidRPr="00063D4E" w:rsidRDefault="00063D4E" w:rsidP="00063D4E">
      <w:pPr>
        <w:spacing w:after="0" w:line="240" w:lineRule="auto"/>
        <w:jc w:val="both"/>
        <w:rPr>
          <w:rFonts w:ascii="Open Sans" w:hAnsi="Open Sans" w:cs="Open Sans"/>
          <w:color w:val="434343"/>
          <w:sz w:val="24"/>
          <w:szCs w:val="24"/>
          <w:lang w:eastAsia="cs-CZ"/>
        </w:rPr>
      </w:pPr>
      <w:r w:rsidRPr="00063D4E">
        <w:rPr>
          <w:rFonts w:ascii="Open Sans" w:hAnsi="Open Sans" w:cs="Open Sans"/>
          <w:b/>
          <w:bCs/>
          <w:color w:val="434343"/>
          <w:sz w:val="24"/>
          <w:szCs w:val="24"/>
          <w:lang w:eastAsia="cs-CZ"/>
        </w:rPr>
        <w:t>Informace pro podnikatele k novému portálu živnostenského podnikání</w:t>
      </w:r>
    </w:p>
    <w:p w14:paraId="213ABC41"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6554D61D" w14:textId="77777777" w:rsidR="00063D4E" w:rsidRPr="00063D4E" w:rsidRDefault="00063D4E" w:rsidP="00063D4E">
      <w:pPr>
        <w:spacing w:after="0" w:line="240" w:lineRule="auto"/>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Ministerstvo průmyslu a obchodu se dlouhodobě zabývá zlepšováním služeb pro podnikatele i nepodnikatelskou veřejnost. Jednou z oblastí je i veřejný web </w:t>
      </w:r>
      <w:hyperlink r:id="rId5" w:history="1">
        <w:r w:rsidRPr="00063D4E">
          <w:rPr>
            <w:rFonts w:ascii="Open Sans" w:hAnsi="Open Sans" w:cs="Open Sans"/>
            <w:color w:val="434343"/>
            <w:sz w:val="24"/>
            <w:szCs w:val="24"/>
            <w:u w:val="single"/>
            <w:lang w:eastAsia="cs-CZ"/>
          </w:rPr>
          <w:t>www.rzp.cz</w:t>
        </w:r>
      </w:hyperlink>
      <w:r w:rsidRPr="00063D4E">
        <w:rPr>
          <w:rFonts w:ascii="Open Sans CE" w:hAnsi="Open Sans CE" w:cs="Open Sans CE"/>
          <w:color w:val="434343"/>
          <w:sz w:val="24"/>
          <w:szCs w:val="24"/>
          <w:lang w:eastAsia="cs-CZ"/>
        </w:rPr>
        <w:t>, jehož hlavní součástí jsou služby pro vyhledání podnikatelského subjektu, zobrazení jeho údajů vedených ve veřejné části živnostenského rejstříku a služby pro vytvoření elektronického podání vůči živnostenským úřadům prostřednictvím informačního systému Registr živnostenského podnikání (dále jen „IS RŽP“). Převratnou novinkou v této oblasti, která byla uvedena do provozu dnem 1. 1. 2023, je vybudování Portálu živnostenského podnikání (dále jen „Portál“). Portál je postaven na koncepci portálů veřejné správy, využívá tedy design systém gov.cz a pro autentizaci uživatelů využívá služeb Portálu národního bodu pro identifikaci</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a autentizaci (NIA). Dále samozřejmě využívá informace jak z IS RŽP, tak i ze základních registrů veřejné správy. Portál významnou měrou rozšiřuje stávající služby registru živnostenského podnikání pro veřejnost.</w:t>
      </w:r>
    </w:p>
    <w:p w14:paraId="02A701D6"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5BFE266A" w14:textId="77777777" w:rsidR="00063D4E" w:rsidRPr="00063D4E" w:rsidRDefault="00063D4E" w:rsidP="00063D4E">
      <w:pPr>
        <w:spacing w:after="0" w:line="240" w:lineRule="auto"/>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Portál kromě služeb poskytovaných stávajícím veřejným webem registru živnostenského podnikání, které plně integruje, přináší veřejnosti následující nové služby:</w:t>
      </w:r>
    </w:p>
    <w:p w14:paraId="401488C7" w14:textId="77777777" w:rsidR="00063D4E" w:rsidRPr="00A64A5F" w:rsidRDefault="00063D4E" w:rsidP="005818F5">
      <w:pPr>
        <w:numPr>
          <w:ilvl w:val="0"/>
          <w:numId w:val="1"/>
        </w:numPr>
        <w:spacing w:before="30" w:after="0" w:line="240" w:lineRule="auto"/>
        <w:ind w:left="1320"/>
        <w:jc w:val="both"/>
        <w:rPr>
          <w:rFonts w:ascii="Open Sans" w:hAnsi="Open Sans" w:cs="Open Sans"/>
          <w:color w:val="434343"/>
          <w:sz w:val="24"/>
          <w:szCs w:val="24"/>
          <w:lang w:eastAsia="cs-CZ"/>
        </w:rPr>
      </w:pPr>
      <w:r w:rsidRPr="00A64A5F">
        <w:rPr>
          <w:rFonts w:ascii="Open Sans CE" w:hAnsi="Open Sans CE" w:cs="Open Sans CE"/>
          <w:color w:val="434343"/>
          <w:sz w:val="24"/>
          <w:szCs w:val="24"/>
          <w:lang w:eastAsia="cs-CZ"/>
        </w:rPr>
        <w:t>Průvodce živnostenským podnikáním, který obsahuje všechny potřebné informace pro řešení základních životních situací stávajícího a nového podnikatele, jako jsou informace o vzniku, změnách a ukončení živnostenského podnikání, informace o průběhu a očekávaném výsledku řízení, kterým je realizováno podání podnikatele, o správních poplatcích</w:t>
      </w:r>
      <w:r w:rsidR="00981085">
        <w:rPr>
          <w:rFonts w:ascii="Open Sans CE" w:hAnsi="Open Sans CE" w:cs="Open Sans CE"/>
          <w:color w:val="434343"/>
          <w:sz w:val="24"/>
          <w:szCs w:val="24"/>
          <w:lang w:eastAsia="cs-CZ"/>
        </w:rPr>
        <w:br/>
      </w:r>
      <w:r w:rsidRPr="00A64A5F">
        <w:rPr>
          <w:rFonts w:ascii="Open Sans CE" w:hAnsi="Open Sans CE" w:cs="Open Sans CE"/>
          <w:color w:val="434343"/>
          <w:sz w:val="24"/>
          <w:szCs w:val="24"/>
          <w:lang w:eastAsia="cs-CZ"/>
        </w:rPr>
        <w:t xml:space="preserve"> a další.</w:t>
      </w:r>
      <w:r w:rsidR="00981085">
        <w:rPr>
          <w:rFonts w:ascii="Open Sans CE" w:hAnsi="Open Sans CE" w:cs="Open Sans CE"/>
          <w:color w:val="434343"/>
          <w:sz w:val="24"/>
          <w:szCs w:val="24"/>
          <w:lang w:eastAsia="cs-CZ"/>
        </w:rPr>
        <w:tab/>
      </w:r>
      <w:r w:rsidR="00A64A5F">
        <w:rPr>
          <w:rFonts w:ascii="Open Sans CE" w:hAnsi="Open Sans CE" w:cs="Open Sans CE"/>
          <w:color w:val="434343"/>
          <w:sz w:val="24"/>
          <w:szCs w:val="24"/>
          <w:lang w:eastAsia="cs-CZ"/>
        </w:rPr>
        <w:br/>
      </w:r>
    </w:p>
    <w:p w14:paraId="6ED003B8" w14:textId="77777777" w:rsidR="00063D4E" w:rsidRPr="00063D4E" w:rsidRDefault="00063D4E" w:rsidP="00063D4E">
      <w:pPr>
        <w:numPr>
          <w:ilvl w:val="0"/>
          <w:numId w:val="2"/>
        </w:numPr>
        <w:spacing w:before="30" w:after="30" w:line="240" w:lineRule="auto"/>
        <w:ind w:left="1320"/>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Poskytování výpisů ze živnostenského rejstříku, přičemž stávající služba získání výpisu z veřejné části registru živnostenského podnikání je rozšířena i o možnost získání výpisu obsahujícího neveřejné údaje týkající se osoby žadatele (služba je podmíněna autentizací uživatele).</w:t>
      </w:r>
    </w:p>
    <w:p w14:paraId="3D2BAA59"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4F32DF97" w14:textId="77777777" w:rsidR="00063D4E" w:rsidRPr="00063D4E" w:rsidRDefault="00063D4E" w:rsidP="00063D4E">
      <w:pPr>
        <w:numPr>
          <w:ilvl w:val="0"/>
          <w:numId w:val="3"/>
        </w:numPr>
        <w:spacing w:before="30" w:after="30" w:line="240" w:lineRule="auto"/>
        <w:ind w:left="1320"/>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 xml:space="preserve">Adresář živnostenských úřadů, který  obsahuje všechny potřebné údaje </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 xml:space="preserve">o všech živnostenských úřadech v České republice (tj. adresa sídla, úřední hodiny, kontaktní údaje atd.); uživatel si může vyhledat „zájmový“ živnostenský úřad podle různých kritérií, např. nejbližší živnostenský úřad dle zadané adresy, podle názvu (i částečného) úřadu, ale rovněž podle úředních hodin (dotaz, který úřad má aktuálně otevřeno), apod. Výsledky </w:t>
      </w:r>
      <w:r w:rsidRPr="00063D4E">
        <w:rPr>
          <w:rFonts w:ascii="Open Sans CE" w:hAnsi="Open Sans CE" w:cs="Open Sans CE"/>
          <w:color w:val="434343"/>
          <w:sz w:val="24"/>
          <w:szCs w:val="24"/>
          <w:lang w:eastAsia="cs-CZ"/>
        </w:rPr>
        <w:lastRenderedPageBreak/>
        <w:t>hledání, tedy kde se vybraný živnostenský úřad nachází, se uživateli  zobrazí i odkazem v mapě.</w:t>
      </w:r>
    </w:p>
    <w:p w14:paraId="6DB873BA"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583C9889" w14:textId="77777777" w:rsidR="00063D4E" w:rsidRPr="00063D4E" w:rsidRDefault="00063D4E" w:rsidP="00063D4E">
      <w:pPr>
        <w:numPr>
          <w:ilvl w:val="0"/>
          <w:numId w:val="4"/>
        </w:numPr>
        <w:spacing w:before="30" w:after="30" w:line="240" w:lineRule="auto"/>
        <w:ind w:left="1320"/>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 xml:space="preserve">Prostřednictvím služby Reklamace údajů bude moci podnikatel reklamovat nesprávnost údajů zapsaných v živnostenském rejstříku, popř. nesprávné nebo chybějící vazby jiných subjektů vedených </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v živnostenském rejstříku na svoji osobu. Služba reklamace údajů je určena pouze autentizovaným uživatelů</w:t>
      </w:r>
      <w:r w:rsidRPr="00063D4E">
        <w:rPr>
          <w:rFonts w:ascii="Open Sans" w:hAnsi="Open Sans" w:cs="Open Sans"/>
          <w:color w:val="434343"/>
          <w:sz w:val="24"/>
          <w:szCs w:val="24"/>
          <w:lang w:eastAsia="cs-CZ"/>
        </w:rPr>
        <w:t>m.</w:t>
      </w:r>
    </w:p>
    <w:p w14:paraId="27B4A440"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580DF4FA" w14:textId="77777777" w:rsidR="00063D4E" w:rsidRPr="00063D4E" w:rsidRDefault="00063D4E" w:rsidP="00063D4E">
      <w:pPr>
        <w:numPr>
          <w:ilvl w:val="0"/>
          <w:numId w:val="5"/>
        </w:numPr>
        <w:spacing w:before="30" w:after="30" w:line="240" w:lineRule="auto"/>
        <w:ind w:left="1320"/>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Služba Potřebuji poradit umožní uživatelům zadávat dotazy a požadavky v souvislosti s provozem Portálu nebo dotazy týkající se obsahu živnostenského rejstříku, problematiky živnostenského zákona, jako např. vznik a ukončení živnostenského oprávnění, přerušení provozování živnosti, jaké oprávnění podnikatel potřebuje pro výkon určité činnosti apod.</w:t>
      </w:r>
    </w:p>
    <w:p w14:paraId="2A7C10D6"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749E9870" w14:textId="77777777" w:rsidR="00063D4E" w:rsidRPr="00063D4E" w:rsidRDefault="00063D4E" w:rsidP="00063D4E">
      <w:pPr>
        <w:numPr>
          <w:ilvl w:val="0"/>
          <w:numId w:val="6"/>
        </w:numPr>
        <w:spacing w:before="30" w:after="30" w:line="240" w:lineRule="auto"/>
        <w:ind w:left="1320"/>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Služba Poskytování notifikací změn zápisu v živnostenském rejstříku umožní podnikatelům získat informace o změnách údajů zapsaných</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v živnostenském rejstříku, které se jich týkají (např. změna adresy bydliště, změna obsahové náplně živnosti, kterou provozují, změna příjmení podnikatele atd.).</w:t>
      </w:r>
    </w:p>
    <w:p w14:paraId="034AF175"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6D1DD737" w14:textId="77777777" w:rsidR="00063D4E" w:rsidRPr="00063D4E" w:rsidRDefault="00063D4E" w:rsidP="00063D4E">
      <w:pPr>
        <w:spacing w:after="0" w:line="240" w:lineRule="auto"/>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Obsah Portálu a jeho služby jsou navíc pro potřeby cizinců z hlediska jejich možného podnikání v České republice poskytovány také v anglické mutaci. Veškeré služby Portálu, které nejsou omezeny legislativně jednáním pouze v českém jazyce, jsou tedy uživatelům Portálu poskytovány i v anglickém jazyce.</w:t>
      </w:r>
    </w:p>
    <w:p w14:paraId="2CD63E4A"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32205741" w14:textId="77777777" w:rsidR="00063D4E" w:rsidRPr="00063D4E" w:rsidRDefault="00063D4E" w:rsidP="00063D4E">
      <w:pPr>
        <w:spacing w:after="0" w:line="240" w:lineRule="auto"/>
        <w:jc w:val="both"/>
        <w:rPr>
          <w:rFonts w:ascii="Open Sans" w:hAnsi="Open Sans" w:cs="Open Sans"/>
          <w:color w:val="434343"/>
          <w:sz w:val="24"/>
          <w:szCs w:val="24"/>
          <w:lang w:eastAsia="cs-CZ"/>
        </w:rPr>
      </w:pPr>
      <w:r w:rsidRPr="00063D4E">
        <w:rPr>
          <w:rFonts w:ascii="Open Sans CE" w:hAnsi="Open Sans CE" w:cs="Open Sans CE"/>
          <w:color w:val="434343"/>
          <w:sz w:val="24"/>
          <w:szCs w:val="24"/>
          <w:lang w:eastAsia="cs-CZ"/>
        </w:rPr>
        <w:t xml:space="preserve">Veškeré výše uvedené služby budou veřejnosti k </w:t>
      </w:r>
      <w:r w:rsidRPr="00063D4E">
        <w:rPr>
          <w:rFonts w:ascii="Open Sans" w:hAnsi="Open Sans" w:cs="Open Sans"/>
          <w:color w:val="434343"/>
          <w:sz w:val="24"/>
          <w:szCs w:val="24"/>
          <w:lang w:eastAsia="cs-CZ"/>
        </w:rPr>
        <w:t>dispozici na Portálu živnostenského podnikání </w:t>
      </w:r>
      <w:hyperlink r:id="rId6" w:history="1">
        <w:r w:rsidRPr="00063D4E">
          <w:rPr>
            <w:rFonts w:ascii="Open Sans" w:hAnsi="Open Sans" w:cs="Open Sans"/>
            <w:color w:val="434343"/>
            <w:sz w:val="24"/>
            <w:szCs w:val="24"/>
            <w:u w:val="single"/>
            <w:lang w:eastAsia="cs-CZ"/>
          </w:rPr>
          <w:t>www.rzp.cz</w:t>
        </w:r>
      </w:hyperlink>
      <w:r w:rsidRPr="00063D4E">
        <w:rPr>
          <w:rFonts w:ascii="Open Sans CE" w:hAnsi="Open Sans CE" w:cs="Open Sans CE"/>
          <w:color w:val="434343"/>
          <w:sz w:val="24"/>
          <w:szCs w:val="24"/>
          <w:lang w:eastAsia="cs-CZ"/>
        </w:rPr>
        <w:t xml:space="preserve"> od 1. 1. 2023. Jedná se o základní sadu služeb Portálu, přičemž Ministerstvo průmyslu a obchodu již nyní pracuje na rozšíření této základní sady o další služby a v tomto trendu hodlá pokračovat i </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 xml:space="preserve">v budoucnu. Samozřejmě i nadále zůstává stávajícím i budoucím podnikatelům možnost i v rámci Portálu využít služeb elektronického podání ve věcech živnostenského podnikání vůči živnostenským úřadům, a to i ve zjednodušené formě. Po zřízení datových schránek všem podnikajícím fyzickým osobám, k němuž dojde </w:t>
      </w:r>
      <w:r w:rsidR="00981085">
        <w:rPr>
          <w:rFonts w:ascii="Open Sans CE" w:hAnsi="Open Sans CE" w:cs="Open Sans CE"/>
          <w:color w:val="434343"/>
          <w:sz w:val="24"/>
          <w:szCs w:val="24"/>
          <w:lang w:eastAsia="cs-CZ"/>
        </w:rPr>
        <w:br/>
      </w:r>
      <w:r w:rsidRPr="00063D4E">
        <w:rPr>
          <w:rFonts w:ascii="Open Sans CE" w:hAnsi="Open Sans CE" w:cs="Open Sans CE"/>
          <w:color w:val="434343"/>
          <w:sz w:val="24"/>
          <w:szCs w:val="24"/>
          <w:lang w:eastAsia="cs-CZ"/>
        </w:rPr>
        <w:t>v průběhu prvního čtvrtletí roku 2023, budou mít všichni podnikatelé možnost činit podání ve věcech živnostenského podnikání výhradně elektronicky, což je další velký krok na cestě k digitalizaci veřejné správy a snižování administrativní zátěže podnikatelů.</w:t>
      </w:r>
    </w:p>
    <w:p w14:paraId="1DC01F33" w14:textId="77777777" w:rsidR="00063D4E" w:rsidRPr="00063D4E" w:rsidRDefault="00063D4E" w:rsidP="00063D4E">
      <w:pPr>
        <w:spacing w:after="0" w:line="240" w:lineRule="auto"/>
        <w:jc w:val="both"/>
        <w:rPr>
          <w:rFonts w:ascii="Open Sans" w:hAnsi="Open Sans" w:cs="Open Sans"/>
          <w:color w:val="434343"/>
          <w:sz w:val="24"/>
          <w:szCs w:val="24"/>
          <w:lang w:eastAsia="cs-CZ"/>
        </w:rPr>
      </w:pPr>
    </w:p>
    <w:p w14:paraId="6E799F0C" w14:textId="0300DD17" w:rsidR="00063D4E" w:rsidRPr="000866C4" w:rsidRDefault="00063D4E" w:rsidP="00063D4E">
      <w:pPr>
        <w:spacing w:line="240" w:lineRule="auto"/>
        <w:jc w:val="both"/>
      </w:pPr>
      <w:r w:rsidRPr="00063D4E">
        <w:rPr>
          <w:rFonts w:ascii="Open Sans" w:hAnsi="Open Sans" w:cs="Open Sans"/>
          <w:b/>
          <w:bCs/>
          <w:color w:val="434343"/>
          <w:sz w:val="24"/>
          <w:szCs w:val="24"/>
          <w:lang w:eastAsia="cs-CZ"/>
        </w:rPr>
        <w:t>odkaz:</w:t>
      </w:r>
      <w:r w:rsidRPr="000866C4">
        <w:rPr>
          <w:rFonts w:ascii="Open Sans" w:hAnsi="Open Sans" w:cs="Open Sans"/>
          <w:b/>
          <w:bCs/>
          <w:sz w:val="32"/>
          <w:szCs w:val="32"/>
          <w:lang w:eastAsia="cs-CZ"/>
        </w:rPr>
        <w:t> </w:t>
      </w:r>
      <w:hyperlink r:id="rId7" w:history="1">
        <w:r w:rsidR="000866C4" w:rsidRPr="000866C4">
          <w:rPr>
            <w:rStyle w:val="Hypertextovodkaz"/>
            <w:b/>
            <w:bCs/>
            <w:color w:val="auto"/>
            <w:sz w:val="32"/>
            <w:szCs w:val="32"/>
          </w:rPr>
          <w:t>https://ww</w:t>
        </w:r>
        <w:r w:rsidR="000866C4" w:rsidRPr="000866C4">
          <w:rPr>
            <w:rStyle w:val="Hypertextovodkaz"/>
            <w:b/>
            <w:bCs/>
            <w:color w:val="auto"/>
            <w:sz w:val="32"/>
            <w:szCs w:val="32"/>
          </w:rPr>
          <w:t>w</w:t>
        </w:r>
        <w:r w:rsidR="000866C4" w:rsidRPr="000866C4">
          <w:rPr>
            <w:rStyle w:val="Hypertextovodkaz"/>
            <w:b/>
            <w:bCs/>
            <w:color w:val="auto"/>
            <w:sz w:val="32"/>
            <w:szCs w:val="32"/>
          </w:rPr>
          <w:t>.rzp.cz/portal/cs/</w:t>
        </w:r>
      </w:hyperlink>
    </w:p>
    <w:p w14:paraId="2F802B5F" w14:textId="77777777" w:rsidR="000866C4" w:rsidRPr="00063D4E" w:rsidRDefault="000866C4" w:rsidP="00063D4E">
      <w:pPr>
        <w:spacing w:line="240" w:lineRule="auto"/>
        <w:jc w:val="both"/>
        <w:rPr>
          <w:rFonts w:ascii="Open Sans" w:hAnsi="Open Sans" w:cs="Open Sans"/>
          <w:color w:val="434343"/>
          <w:sz w:val="24"/>
          <w:szCs w:val="24"/>
          <w:lang w:eastAsia="cs-CZ"/>
        </w:rPr>
      </w:pPr>
    </w:p>
    <w:p w14:paraId="4AD7800D" w14:textId="77777777" w:rsidR="00251822" w:rsidRDefault="00251822"/>
    <w:sectPr w:rsidR="00251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00000003" w:usb1="00000000" w:usb2="00000000" w:usb3="00000000" w:csb0="00000001" w:csb1="00000000"/>
  </w:font>
  <w:font w:name="Open Sans CE">
    <w:altName w:val="Segoe UI"/>
    <w:panose1 w:val="00000000000000000000"/>
    <w:charset w:val="EE"/>
    <w:family w:val="swiss"/>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E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43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00A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971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738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C37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0676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34351348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16cid:durableId="19713952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65132829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20803586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979335981">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E"/>
    <w:rsid w:val="00063D4E"/>
    <w:rsid w:val="000866C4"/>
    <w:rsid w:val="0009150D"/>
    <w:rsid w:val="00251822"/>
    <w:rsid w:val="005818F5"/>
    <w:rsid w:val="00981085"/>
    <w:rsid w:val="00A64A5F"/>
    <w:rsid w:val="00A82EEE"/>
    <w:rsid w:val="00AF5AA0"/>
    <w:rsid w:val="00B26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1F591"/>
  <w14:defaultImageDpi w14:val="0"/>
  <w15:docId w15:val="{4F1C669F-35AA-4F22-BB38-C7ECA365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Times New Roman"/>
    </w:rPr>
  </w:style>
  <w:style w:type="paragraph" w:styleId="Nadpis2">
    <w:name w:val="heading 2"/>
    <w:basedOn w:val="Normln"/>
    <w:link w:val="Nadpis2Char"/>
    <w:uiPriority w:val="9"/>
    <w:qFormat/>
    <w:rsid w:val="00063D4E"/>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063D4E"/>
    <w:rPr>
      <w:rFonts w:ascii="Times New Roman" w:hAnsi="Times New Roman" w:cs="Times New Roman"/>
      <w:b/>
      <w:bCs/>
      <w:sz w:val="36"/>
      <w:szCs w:val="36"/>
      <w:lang w:val="x-none" w:eastAsia="cs-CZ"/>
    </w:rPr>
  </w:style>
  <w:style w:type="character" w:styleId="Hypertextovodkaz">
    <w:name w:val="Hyperlink"/>
    <w:basedOn w:val="Standardnpsmoodstavce"/>
    <w:uiPriority w:val="99"/>
    <w:unhideWhenUsed/>
    <w:rsid w:val="00063D4E"/>
    <w:rPr>
      <w:rFonts w:cs="Times New Roman"/>
      <w:color w:val="0000FF"/>
      <w:u w:val="single"/>
    </w:rPr>
  </w:style>
  <w:style w:type="character" w:styleId="Nevyeenzmnka">
    <w:name w:val="Unresolved Mention"/>
    <w:basedOn w:val="Standardnpsmoodstavce"/>
    <w:uiPriority w:val="99"/>
    <w:semiHidden/>
    <w:unhideWhenUsed/>
    <w:rsid w:val="000866C4"/>
    <w:rPr>
      <w:color w:val="605E5C"/>
      <w:shd w:val="clear" w:color="auto" w:fill="E1DFDD"/>
    </w:rPr>
  </w:style>
  <w:style w:type="character" w:styleId="Sledovanodkaz">
    <w:name w:val="FollowedHyperlink"/>
    <w:basedOn w:val="Standardnpsmoodstavce"/>
    <w:uiPriority w:val="99"/>
    <w:semiHidden/>
    <w:unhideWhenUsed/>
    <w:rsid w:val="00086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2025">
      <w:marLeft w:val="0"/>
      <w:marRight w:val="0"/>
      <w:marTop w:val="0"/>
      <w:marBottom w:val="0"/>
      <w:divBdr>
        <w:top w:val="none" w:sz="0" w:space="0" w:color="auto"/>
        <w:left w:val="none" w:sz="0" w:space="0" w:color="auto"/>
        <w:bottom w:val="none" w:sz="0" w:space="0" w:color="auto"/>
        <w:right w:val="none" w:sz="0" w:space="0" w:color="auto"/>
      </w:divBdr>
      <w:divsChild>
        <w:div w:id="1153912030">
          <w:marLeft w:val="0"/>
          <w:marRight w:val="0"/>
          <w:marTop w:val="0"/>
          <w:marBottom w:val="375"/>
          <w:divBdr>
            <w:top w:val="none" w:sz="0" w:space="0" w:color="auto"/>
            <w:left w:val="none" w:sz="0" w:space="0" w:color="auto"/>
            <w:bottom w:val="none" w:sz="0" w:space="0" w:color="auto"/>
            <w:right w:val="none" w:sz="0" w:space="0" w:color="auto"/>
          </w:divBdr>
          <w:divsChild>
            <w:div w:id="1153912019">
              <w:marLeft w:val="0"/>
              <w:marRight w:val="0"/>
              <w:marTop w:val="0"/>
              <w:marBottom w:val="0"/>
              <w:divBdr>
                <w:top w:val="none" w:sz="0" w:space="0" w:color="auto"/>
                <w:left w:val="none" w:sz="0" w:space="0" w:color="auto"/>
                <w:bottom w:val="none" w:sz="0" w:space="0" w:color="auto"/>
                <w:right w:val="none" w:sz="0" w:space="0" w:color="auto"/>
              </w:divBdr>
            </w:div>
            <w:div w:id="1153912022">
              <w:marLeft w:val="0"/>
              <w:marRight w:val="0"/>
              <w:marTop w:val="0"/>
              <w:marBottom w:val="0"/>
              <w:divBdr>
                <w:top w:val="none" w:sz="0" w:space="0" w:color="auto"/>
                <w:left w:val="none" w:sz="0" w:space="0" w:color="auto"/>
                <w:bottom w:val="none" w:sz="0" w:space="0" w:color="auto"/>
                <w:right w:val="none" w:sz="0" w:space="0" w:color="auto"/>
              </w:divBdr>
            </w:div>
            <w:div w:id="1153912028">
              <w:marLeft w:val="0"/>
              <w:marRight w:val="0"/>
              <w:marTop w:val="0"/>
              <w:marBottom w:val="0"/>
              <w:divBdr>
                <w:top w:val="none" w:sz="0" w:space="0" w:color="auto"/>
                <w:left w:val="none" w:sz="0" w:space="0" w:color="auto"/>
                <w:bottom w:val="none" w:sz="0" w:space="0" w:color="auto"/>
                <w:right w:val="none" w:sz="0" w:space="0" w:color="auto"/>
              </w:divBdr>
            </w:div>
            <w:div w:id="1153912029">
              <w:marLeft w:val="0"/>
              <w:marRight w:val="0"/>
              <w:marTop w:val="0"/>
              <w:marBottom w:val="0"/>
              <w:divBdr>
                <w:top w:val="none" w:sz="0" w:space="0" w:color="auto"/>
                <w:left w:val="none" w:sz="0" w:space="0" w:color="auto"/>
                <w:bottom w:val="none" w:sz="0" w:space="0" w:color="auto"/>
                <w:right w:val="none" w:sz="0" w:space="0" w:color="auto"/>
              </w:divBdr>
            </w:div>
            <w:div w:id="11539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2031">
      <w:marLeft w:val="0"/>
      <w:marRight w:val="0"/>
      <w:marTop w:val="0"/>
      <w:marBottom w:val="0"/>
      <w:divBdr>
        <w:top w:val="none" w:sz="0" w:space="0" w:color="auto"/>
        <w:left w:val="none" w:sz="0" w:space="0" w:color="auto"/>
        <w:bottom w:val="none" w:sz="0" w:space="0" w:color="auto"/>
        <w:right w:val="none" w:sz="0" w:space="0" w:color="auto"/>
      </w:divBdr>
      <w:divsChild>
        <w:div w:id="1153912023">
          <w:marLeft w:val="0"/>
          <w:marRight w:val="0"/>
          <w:marTop w:val="0"/>
          <w:marBottom w:val="375"/>
          <w:divBdr>
            <w:top w:val="none" w:sz="0" w:space="0" w:color="auto"/>
            <w:left w:val="none" w:sz="0" w:space="0" w:color="auto"/>
            <w:bottom w:val="none" w:sz="0" w:space="0" w:color="auto"/>
            <w:right w:val="none" w:sz="0" w:space="0" w:color="auto"/>
          </w:divBdr>
          <w:divsChild>
            <w:div w:id="1153912020">
              <w:marLeft w:val="0"/>
              <w:marRight w:val="0"/>
              <w:marTop w:val="0"/>
              <w:marBottom w:val="0"/>
              <w:divBdr>
                <w:top w:val="none" w:sz="0" w:space="0" w:color="auto"/>
                <w:left w:val="none" w:sz="0" w:space="0" w:color="auto"/>
                <w:bottom w:val="none" w:sz="0" w:space="0" w:color="auto"/>
                <w:right w:val="none" w:sz="0" w:space="0" w:color="auto"/>
              </w:divBdr>
            </w:div>
            <w:div w:id="1153912021">
              <w:marLeft w:val="0"/>
              <w:marRight w:val="0"/>
              <w:marTop w:val="0"/>
              <w:marBottom w:val="0"/>
              <w:divBdr>
                <w:top w:val="none" w:sz="0" w:space="0" w:color="auto"/>
                <w:left w:val="none" w:sz="0" w:space="0" w:color="auto"/>
                <w:bottom w:val="none" w:sz="0" w:space="0" w:color="auto"/>
                <w:right w:val="none" w:sz="0" w:space="0" w:color="auto"/>
              </w:divBdr>
            </w:div>
            <w:div w:id="1153912024">
              <w:marLeft w:val="0"/>
              <w:marRight w:val="0"/>
              <w:marTop w:val="0"/>
              <w:marBottom w:val="0"/>
              <w:divBdr>
                <w:top w:val="none" w:sz="0" w:space="0" w:color="auto"/>
                <w:left w:val="none" w:sz="0" w:space="0" w:color="auto"/>
                <w:bottom w:val="none" w:sz="0" w:space="0" w:color="auto"/>
                <w:right w:val="none" w:sz="0" w:space="0" w:color="auto"/>
              </w:divBdr>
            </w:div>
            <w:div w:id="1153912026">
              <w:marLeft w:val="0"/>
              <w:marRight w:val="0"/>
              <w:marTop w:val="0"/>
              <w:marBottom w:val="0"/>
              <w:divBdr>
                <w:top w:val="none" w:sz="0" w:space="0" w:color="auto"/>
                <w:left w:val="none" w:sz="0" w:space="0" w:color="auto"/>
                <w:bottom w:val="none" w:sz="0" w:space="0" w:color="auto"/>
                <w:right w:val="none" w:sz="0" w:space="0" w:color="auto"/>
              </w:divBdr>
            </w:div>
            <w:div w:id="1153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zp.cz/portal/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zp.cz/portal/cs/" TargetMode="External"/><Relationship Id="rId5" Type="http://schemas.openxmlformats.org/officeDocument/2006/relationships/hyperlink" Target="https://www.rzp.cz/portal/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4042</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Koutová Ivana</dc:creator>
  <cp:keywords/>
  <dc:description/>
  <cp:lastModifiedBy>Pospíšilová Diana</cp:lastModifiedBy>
  <cp:revision>3</cp:revision>
  <dcterms:created xsi:type="dcterms:W3CDTF">2023-01-04T14:42:00Z</dcterms:created>
  <dcterms:modified xsi:type="dcterms:W3CDTF">2023-01-04T14:43:00Z</dcterms:modified>
</cp:coreProperties>
</file>